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noProof/>
          <w:lang w:eastAsia="fr-CA"/>
        </w:rPr>
        <w:drawing>
          <wp:inline distT="0" distB="0" distL="0" distR="0" wp14:anchorId="56204870" wp14:editId="2F87E5A7">
            <wp:extent cx="1190625" cy="266700"/>
            <wp:effectExtent l="0" t="0" r="9525" b="0"/>
            <wp:docPr id="1" name="Image 1" descr="http://www2.publicationsduquebec.gouv.qc.ca/lois_et_reglements/images/queb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publicationsduquebec.gouv.qc.ca/lois_et_reglements/images/quebw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6700"/>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82"/>
        <w:gridCol w:w="5708"/>
      </w:tblGrid>
      <w:tr w:rsidR="008671CA" w:rsidRPr="008671CA" w:rsidTr="008671CA">
        <w:trPr>
          <w:tblCellSpacing w:w="15" w:type="dxa"/>
        </w:trPr>
        <w:tc>
          <w:tcPr>
            <w:tcW w:w="0" w:type="auto"/>
            <w:hideMark/>
          </w:tcPr>
          <w:p w:rsidR="008671CA" w:rsidRPr="008671CA" w:rsidRDefault="008671CA" w:rsidP="008671CA">
            <w:pPr>
              <w:spacing w:after="0" w:line="240" w:lineRule="auto"/>
              <w:rPr>
                <w:rFonts w:eastAsia="Times New Roman" w:cstheme="minorHAnsi"/>
                <w:sz w:val="18"/>
                <w:szCs w:val="18"/>
                <w:lang w:eastAsia="fr-CA"/>
              </w:rPr>
            </w:pPr>
            <w:r w:rsidRPr="008671CA">
              <w:rPr>
                <w:rFonts w:eastAsia="Times New Roman" w:cstheme="minorHAnsi"/>
                <w:sz w:val="18"/>
                <w:szCs w:val="18"/>
                <w:lang w:eastAsia="fr-CA"/>
              </w:rPr>
              <w:t xml:space="preserve">© Éditeur officiel du Québec </w:t>
            </w:r>
            <w:bookmarkStart w:id="0" w:name="_GoBack"/>
            <w:bookmarkEnd w:id="0"/>
          </w:p>
        </w:tc>
        <w:tc>
          <w:tcPr>
            <w:tcW w:w="0" w:type="auto"/>
            <w:hideMark/>
          </w:tcPr>
          <w:p w:rsidR="008671CA" w:rsidRPr="008671CA" w:rsidRDefault="008671CA" w:rsidP="008671CA">
            <w:pPr>
              <w:spacing w:after="0" w:line="240" w:lineRule="auto"/>
              <w:jc w:val="right"/>
              <w:rPr>
                <w:rFonts w:eastAsia="Times New Roman" w:cstheme="minorHAnsi"/>
                <w:sz w:val="18"/>
                <w:szCs w:val="18"/>
                <w:lang w:eastAsia="fr-CA"/>
              </w:rPr>
            </w:pPr>
            <w:r w:rsidRPr="008671CA">
              <w:rPr>
                <w:rFonts w:eastAsia="Times New Roman" w:cstheme="minorHAnsi"/>
                <w:b/>
                <w:bCs/>
                <w:sz w:val="18"/>
                <w:szCs w:val="18"/>
                <w:lang w:eastAsia="fr-CA"/>
              </w:rPr>
              <w:t>À jour au 1er septembre 2014</w:t>
            </w:r>
            <w:r w:rsidRPr="008671CA">
              <w:rPr>
                <w:rFonts w:eastAsia="Times New Roman" w:cstheme="minorHAnsi"/>
                <w:sz w:val="18"/>
                <w:szCs w:val="18"/>
                <w:lang w:eastAsia="fr-CA"/>
              </w:rPr>
              <w:t xml:space="preserve"> </w:t>
            </w:r>
            <w:r w:rsidRPr="008671CA">
              <w:rPr>
                <w:rFonts w:eastAsia="Times New Roman" w:cstheme="minorHAnsi"/>
                <w:sz w:val="18"/>
                <w:szCs w:val="18"/>
                <w:lang w:eastAsia="fr-CA"/>
              </w:rPr>
              <w:br/>
              <w:t xml:space="preserve">Ce document a valeur officielle. </w:t>
            </w:r>
          </w:p>
        </w:tc>
      </w:tr>
    </w:tbl>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b/>
          <w:sz w:val="26"/>
          <w:szCs w:val="26"/>
          <w:lang w:eastAsia="fr-CA"/>
        </w:rPr>
      </w:pPr>
      <w:bookmarkStart w:id="1" w:name="A"/>
      <w:bookmarkEnd w:id="1"/>
      <w:proofErr w:type="gramStart"/>
      <w:r w:rsidRPr="000C7C23">
        <w:rPr>
          <w:rFonts w:eastAsia="Times New Roman" w:cstheme="minorHAnsi"/>
          <w:sz w:val="26"/>
          <w:szCs w:val="26"/>
          <w:lang w:eastAsia="fr-CA"/>
        </w:rPr>
        <w:t>chapitre</w:t>
      </w:r>
      <w:proofErr w:type="gramEnd"/>
      <w:r w:rsidRPr="000C7C23">
        <w:rPr>
          <w:rFonts w:eastAsia="Times New Roman" w:cstheme="minorHAnsi"/>
          <w:sz w:val="26"/>
          <w:szCs w:val="26"/>
          <w:lang w:eastAsia="fr-CA"/>
        </w:rPr>
        <w:t> A-3.001</w:t>
      </w:r>
      <w:r w:rsidRPr="008671CA">
        <w:rPr>
          <w:rFonts w:eastAsia="Times New Roman" w:cstheme="minorHAnsi"/>
          <w:sz w:val="26"/>
          <w:szCs w:val="26"/>
          <w:lang w:eastAsia="fr-CA"/>
        </w:rPr>
        <w:br/>
      </w:r>
      <w:r w:rsidRPr="008671CA">
        <w:rPr>
          <w:rFonts w:eastAsia="Times New Roman" w:cstheme="minorHAnsi"/>
          <w:lang w:eastAsia="fr-CA"/>
        </w:rPr>
        <w:br/>
      </w:r>
      <w:r w:rsidR="000C7C23" w:rsidRPr="000C7C23">
        <w:rPr>
          <w:rFonts w:eastAsia="Times New Roman" w:cstheme="minorHAnsi"/>
          <w:b/>
          <w:sz w:val="26"/>
          <w:szCs w:val="26"/>
          <w:lang w:eastAsia="fr-CA"/>
        </w:rPr>
        <w:t>LOI SUR LES ACCIDENTS DU TRAVAIL ET LES MALADIES PROFESSIONNELLES</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bookmarkStart w:id="2" w:name="D%%%1_D"/>
      <w:bookmarkEnd w:id="2"/>
      <w:r w:rsidRPr="008671CA">
        <w:rPr>
          <w:rFonts w:eastAsia="Times New Roman" w:cstheme="minorHAnsi"/>
          <w:b/>
          <w:lang w:eastAsia="fr-CA"/>
        </w:rPr>
        <w:t>CHAPITRE I </w:t>
      </w:r>
      <w:r w:rsidRPr="008671CA">
        <w:rPr>
          <w:rFonts w:eastAsia="Times New Roman" w:cstheme="minorHAnsi"/>
          <w:b/>
          <w:lang w:eastAsia="fr-CA"/>
        </w:rPr>
        <w:br/>
      </w:r>
      <w:r w:rsidRPr="008671CA">
        <w:rPr>
          <w:rFonts w:eastAsia="Times New Roman" w:cstheme="minorHAnsi"/>
          <w:lang w:eastAsia="fr-CA"/>
        </w:rPr>
        <w:t>OBJET, INTERPRÉTATION ET APPLICATION</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bookmarkStart w:id="3" w:name="D%%%1_E"/>
      <w:bookmarkEnd w:id="3"/>
      <w:r w:rsidRPr="008671CA">
        <w:rPr>
          <w:rFonts w:eastAsia="Times New Roman" w:cstheme="minorHAnsi"/>
          <w:b/>
          <w:lang w:eastAsia="fr-CA"/>
        </w:rPr>
        <w:t>SECTION I </w:t>
      </w:r>
      <w:r w:rsidRPr="008671CA">
        <w:rPr>
          <w:rFonts w:eastAsia="Times New Roman" w:cstheme="minorHAnsi"/>
          <w:b/>
          <w:lang w:eastAsia="fr-CA"/>
        </w:rPr>
        <w:br/>
      </w:r>
      <w:r w:rsidRPr="008671CA">
        <w:rPr>
          <w:rFonts w:eastAsia="Times New Roman" w:cstheme="minorHAnsi"/>
          <w:lang w:eastAsia="fr-CA"/>
        </w:rPr>
        <w:t>OBJET</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bookmarkStart w:id="4" w:name="D%%%1_Y"/>
      <w:bookmarkStart w:id="5" w:name="s1"/>
      <w:bookmarkEnd w:id="4"/>
      <w:bookmarkEnd w:id="5"/>
      <w:r w:rsidRPr="008671CA">
        <w:rPr>
          <w:rFonts w:eastAsia="Times New Roman" w:cstheme="minorHAnsi"/>
          <w:b/>
          <w:lang w:eastAsia="fr-CA"/>
        </w:rPr>
        <w:t>1.</w:t>
      </w:r>
      <w:r w:rsidRPr="008671CA">
        <w:rPr>
          <w:rFonts w:eastAsia="Times New Roman" w:cstheme="minorHAnsi"/>
          <w:lang w:eastAsia="fr-CA"/>
        </w:rPr>
        <w:t> La présente loi a pour objet la réparation des lésions professionnelles et des conséquences qu'elles entraînent pour les bénéficiaires.</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spacing w:val="-2"/>
          <w:lang w:eastAsia="fr-CA"/>
        </w:rPr>
      </w:pPr>
      <w:r w:rsidRPr="008671CA">
        <w:rPr>
          <w:rFonts w:eastAsia="Times New Roman" w:cstheme="minorHAnsi"/>
          <w:spacing w:val="-2"/>
          <w:lang w:eastAsia="fr-CA"/>
        </w:rPr>
        <w:t>Le processus de réparation des lésions professionnelles comprend la fourniture des soins nécessaires à la consolidation d'une lésion, la réadaptation physique, sociale et professionnelle du travailleur victime d'une lésion, le paiement d'indemnités de remplacement du revenu, d'indemnités pour préjudice corporel et, le cas échéant, d'indemnités de décès.</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La présente loi confère en outre, dans les limites prévues au chapitre VII, le droit au retour au travail du travailleur victime d'une lésion professionnelle.</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sz w:val="18"/>
          <w:szCs w:val="18"/>
          <w:lang w:eastAsia="fr-CA"/>
        </w:rPr>
      </w:pPr>
      <w:r w:rsidRPr="008671CA">
        <w:rPr>
          <w:rFonts w:eastAsia="Times New Roman" w:cstheme="minorHAnsi"/>
          <w:sz w:val="18"/>
          <w:szCs w:val="18"/>
          <w:lang w:eastAsia="fr-CA"/>
        </w:rPr>
        <w:t>1985, c. 6, a. 1; 1999, c. 40, a. 4.</w:t>
      </w:r>
    </w:p>
    <w:p w:rsidR="001330C7" w:rsidRDefault="001330C7" w:rsidP="000C7C23">
      <w:pPr>
        <w:spacing w:after="0" w:line="240" w:lineRule="auto"/>
        <w:rPr>
          <w:rFonts w:cstheme="minorHAnsi"/>
        </w:rPr>
      </w:pPr>
    </w:p>
    <w:p w:rsidR="000C7C23" w:rsidRDefault="000C7C23" w:rsidP="000C7C23">
      <w:pPr>
        <w:spacing w:after="0" w:line="240" w:lineRule="auto"/>
        <w:jc w:val="center"/>
        <w:rPr>
          <w:rFonts w:eastAsia="Times New Roman" w:cstheme="minorHAnsi"/>
          <w:lang w:eastAsia="fr-CA"/>
        </w:rPr>
      </w:pPr>
      <w:r>
        <w:rPr>
          <w:rFonts w:eastAsia="Times New Roman" w:cstheme="minorHAnsi"/>
          <w:lang w:eastAsia="fr-CA"/>
        </w:rPr>
        <w:t>***</w:t>
      </w:r>
    </w:p>
    <w:p w:rsidR="000C7C23" w:rsidRPr="008671CA" w:rsidRDefault="000C7C23" w:rsidP="000C7C23">
      <w:pPr>
        <w:spacing w:after="0" w:line="240" w:lineRule="auto"/>
        <w:rPr>
          <w:rFonts w:cstheme="minorHAnsi"/>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PERSONNES CONSIDÉRÉES À L'EMPLOI DU GOUVERNEMENT OU QUI PARTICIPENT À DES ACTIVITÉS DE SÉCURITÉ CIVILE</w:t>
      </w:r>
    </w:p>
    <w:p w:rsid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bookmarkStart w:id="6" w:name="D%_Y"/>
      <w:bookmarkStart w:id="7" w:name="s11"/>
      <w:bookmarkEnd w:id="6"/>
      <w:bookmarkEnd w:id="7"/>
      <w:r w:rsidRPr="008671CA">
        <w:rPr>
          <w:rFonts w:eastAsia="Times New Roman" w:cstheme="minorHAnsi"/>
          <w:b/>
          <w:lang w:eastAsia="fr-CA"/>
        </w:rPr>
        <w:t>11.</w:t>
      </w:r>
      <w:r w:rsidRPr="008671CA">
        <w:rPr>
          <w:rFonts w:eastAsia="Times New Roman" w:cstheme="minorHAnsi"/>
          <w:lang w:eastAsia="fr-CA"/>
        </w:rPr>
        <w:t> Est considéré un travailleur à l'emploi du gouvernement:</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 1° la personne, autre qu'un enfant visé dans le paragraphe 3°, qui exécute des travaux compensatoires en vertu du Code de procédure pénale (chapitre C-25.1);</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 2° la personne qui exécute des heures de service communautaire dans le cadre d'une ordonnance de probation ou d'une ordonnance de sursis;</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 3° l'enfant qui exécute un travail, rend service à la collectivité ou agit comme apprenti, qu'il soit rémunéré ou non, dans le cadre de mesures volontaires prises en vertu de la Loi sur la protection de la jeunesse (chapitre P-34.1) ou de mesures de rechange prises en vertu de la Loi sur les jeunes contrevenants (Lois révisées du Canada (1985), chapitre Y-1) ou en exécution d'une décision rendue par la Cour du Québec en vertu de l'une de ces lois ou du Code de procédure pénale;</w:t>
      </w:r>
    </w:p>
    <w:p w:rsidR="008671CA" w:rsidRPr="008671CA" w:rsidRDefault="008671CA" w:rsidP="008671CA">
      <w:pPr>
        <w:spacing w:after="0" w:line="240" w:lineRule="auto"/>
        <w:rPr>
          <w:rFonts w:eastAsia="Times New Roman" w:cstheme="minorHAnsi"/>
          <w:lang w:eastAsia="fr-CA"/>
        </w:rPr>
      </w:pPr>
    </w:p>
    <w:p w:rsidR="008671CA" w:rsidRPr="008671CA" w:rsidRDefault="008671CA" w:rsidP="008671CA">
      <w:pPr>
        <w:spacing w:after="0" w:line="240" w:lineRule="auto"/>
        <w:rPr>
          <w:rFonts w:eastAsia="Times New Roman" w:cstheme="minorHAnsi"/>
          <w:lang w:eastAsia="fr-CA"/>
        </w:rPr>
      </w:pPr>
      <w:r w:rsidRPr="008671CA">
        <w:rPr>
          <w:rFonts w:eastAsia="Times New Roman" w:cstheme="minorHAnsi"/>
          <w:lang w:eastAsia="fr-CA"/>
        </w:rPr>
        <w:t> 4° une personne qui exécute un travail dans le cadre d'une mesure ou d'un programme établi en application du titre I de la Loi sur l'aide aux personnes et aux familles (chapitre A-13.1.1) ou dans le cadre du Programme alternative jeunesse ou d'un programme spécifique établis en application des chapitres III et IV du titre II de cette loi, sauf si ce travail est exécuté dans le cadre d'une mesure ou d'un programme de subvention salariale sous la responsabilité du ministre de l'Emploi et de la Solidarité sociale.</w:t>
      </w:r>
    </w:p>
    <w:p w:rsidR="008671CA" w:rsidRPr="008671CA" w:rsidRDefault="008671CA" w:rsidP="008671CA">
      <w:pPr>
        <w:spacing w:after="0" w:line="240" w:lineRule="auto"/>
        <w:rPr>
          <w:rFonts w:eastAsia="Times New Roman" w:cstheme="minorHAnsi"/>
          <w:lang w:eastAsia="fr-CA"/>
        </w:rPr>
      </w:pPr>
    </w:p>
    <w:p w:rsidR="008671CA" w:rsidRPr="000C7C23" w:rsidRDefault="008671CA" w:rsidP="008671CA">
      <w:pPr>
        <w:spacing w:after="0" w:line="240" w:lineRule="auto"/>
        <w:rPr>
          <w:sz w:val="18"/>
          <w:szCs w:val="18"/>
        </w:rPr>
      </w:pPr>
      <w:r w:rsidRPr="008671CA">
        <w:rPr>
          <w:rFonts w:eastAsia="Times New Roman" w:cstheme="minorHAnsi"/>
          <w:sz w:val="18"/>
          <w:szCs w:val="18"/>
          <w:lang w:eastAsia="fr-CA"/>
        </w:rPr>
        <w:t>1985, c. 6, a. 11; 1988, c. 21, a. 66; 1987, c. 19, a. 13; 1988, c. 51, a. 93; 1990, c. 4, a. 34; 1991, c. 43, a. 22; 1998, c. 28, a. 12; 1998, c. 36, a. 162; 2001, c. 44, a. 25; 2005, c. 15, a. 137.</w:t>
      </w:r>
    </w:p>
    <w:sectPr w:rsidR="008671CA" w:rsidRPr="000C7C23" w:rsidSect="008671CA">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CA" w:rsidRDefault="008671CA" w:rsidP="008671CA">
      <w:pPr>
        <w:spacing w:after="0" w:line="240" w:lineRule="auto"/>
      </w:pPr>
      <w:r>
        <w:separator/>
      </w:r>
    </w:p>
  </w:endnote>
  <w:endnote w:type="continuationSeparator" w:id="0">
    <w:p w:rsidR="008671CA" w:rsidRDefault="008671CA" w:rsidP="0086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CA" w:rsidRDefault="008671CA" w:rsidP="008671CA">
      <w:pPr>
        <w:spacing w:after="0" w:line="240" w:lineRule="auto"/>
      </w:pPr>
      <w:r>
        <w:separator/>
      </w:r>
    </w:p>
  </w:footnote>
  <w:footnote w:type="continuationSeparator" w:id="0">
    <w:p w:rsidR="008671CA" w:rsidRDefault="008671CA" w:rsidP="0086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CA" w:rsidRPr="008671CA" w:rsidRDefault="008671CA" w:rsidP="008671CA">
    <w:pPr>
      <w:pStyle w:val="En-tte"/>
      <w:jc w:val="center"/>
      <w:rPr>
        <w:sz w:val="18"/>
        <w:szCs w:val="18"/>
      </w:rPr>
    </w:pPr>
    <w:r w:rsidRPr="008671CA">
      <w:rPr>
        <w:sz w:val="18"/>
        <w:szCs w:val="18"/>
      </w:rPr>
      <w:t>Loi sur les accidents du travail et les maladies professionnelles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CA"/>
    <w:rsid w:val="000C7C23"/>
    <w:rsid w:val="001330C7"/>
    <w:rsid w:val="008671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int">
    <w:name w:val="print"/>
    <w:basedOn w:val="Policepardfaut"/>
    <w:rsid w:val="008671CA"/>
  </w:style>
  <w:style w:type="character" w:customStyle="1" w:styleId="alpha">
    <w:name w:val="alpha"/>
    <w:basedOn w:val="Policepardfaut"/>
    <w:rsid w:val="008671CA"/>
  </w:style>
  <w:style w:type="character" w:customStyle="1" w:styleId="titreloi">
    <w:name w:val="titreloi"/>
    <w:basedOn w:val="Policepardfaut"/>
    <w:rsid w:val="008671CA"/>
  </w:style>
  <w:style w:type="character" w:customStyle="1" w:styleId="noparentintit">
    <w:name w:val="noparentintit"/>
    <w:basedOn w:val="Policepardfaut"/>
    <w:rsid w:val="008671CA"/>
  </w:style>
  <w:style w:type="character" w:customStyle="1" w:styleId="nobold">
    <w:name w:val="nobold"/>
    <w:basedOn w:val="Policepardfaut"/>
    <w:rsid w:val="008671CA"/>
  </w:style>
  <w:style w:type="paragraph" w:styleId="Textedebulles">
    <w:name w:val="Balloon Text"/>
    <w:basedOn w:val="Normal"/>
    <w:link w:val="TextedebullesCar"/>
    <w:uiPriority w:val="99"/>
    <w:semiHidden/>
    <w:unhideWhenUsed/>
    <w:rsid w:val="00867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1CA"/>
    <w:rPr>
      <w:rFonts w:ascii="Tahoma" w:hAnsi="Tahoma" w:cs="Tahoma"/>
      <w:sz w:val="16"/>
      <w:szCs w:val="16"/>
    </w:rPr>
  </w:style>
  <w:style w:type="character" w:customStyle="1" w:styleId="titparentflot">
    <w:name w:val="titparentflot"/>
    <w:basedOn w:val="Policepardfaut"/>
    <w:rsid w:val="008671CA"/>
  </w:style>
  <w:style w:type="paragraph" w:styleId="En-tte">
    <w:name w:val="header"/>
    <w:basedOn w:val="Normal"/>
    <w:link w:val="En-tteCar"/>
    <w:uiPriority w:val="99"/>
    <w:unhideWhenUsed/>
    <w:rsid w:val="008671CA"/>
    <w:pPr>
      <w:tabs>
        <w:tab w:val="center" w:pos="4320"/>
        <w:tab w:val="right" w:pos="8640"/>
      </w:tabs>
      <w:spacing w:after="0" w:line="240" w:lineRule="auto"/>
    </w:pPr>
  </w:style>
  <w:style w:type="character" w:customStyle="1" w:styleId="En-tteCar">
    <w:name w:val="En-tête Car"/>
    <w:basedOn w:val="Policepardfaut"/>
    <w:link w:val="En-tte"/>
    <w:uiPriority w:val="99"/>
    <w:rsid w:val="008671CA"/>
  </w:style>
  <w:style w:type="paragraph" w:styleId="Pieddepage">
    <w:name w:val="footer"/>
    <w:basedOn w:val="Normal"/>
    <w:link w:val="PieddepageCar"/>
    <w:uiPriority w:val="99"/>
    <w:unhideWhenUsed/>
    <w:rsid w:val="008671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7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int">
    <w:name w:val="print"/>
    <w:basedOn w:val="Policepardfaut"/>
    <w:rsid w:val="008671CA"/>
  </w:style>
  <w:style w:type="character" w:customStyle="1" w:styleId="alpha">
    <w:name w:val="alpha"/>
    <w:basedOn w:val="Policepardfaut"/>
    <w:rsid w:val="008671CA"/>
  </w:style>
  <w:style w:type="character" w:customStyle="1" w:styleId="titreloi">
    <w:name w:val="titreloi"/>
    <w:basedOn w:val="Policepardfaut"/>
    <w:rsid w:val="008671CA"/>
  </w:style>
  <w:style w:type="character" w:customStyle="1" w:styleId="noparentintit">
    <w:name w:val="noparentintit"/>
    <w:basedOn w:val="Policepardfaut"/>
    <w:rsid w:val="008671CA"/>
  </w:style>
  <w:style w:type="character" w:customStyle="1" w:styleId="nobold">
    <w:name w:val="nobold"/>
    <w:basedOn w:val="Policepardfaut"/>
    <w:rsid w:val="008671CA"/>
  </w:style>
  <w:style w:type="paragraph" w:styleId="Textedebulles">
    <w:name w:val="Balloon Text"/>
    <w:basedOn w:val="Normal"/>
    <w:link w:val="TextedebullesCar"/>
    <w:uiPriority w:val="99"/>
    <w:semiHidden/>
    <w:unhideWhenUsed/>
    <w:rsid w:val="00867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1CA"/>
    <w:rPr>
      <w:rFonts w:ascii="Tahoma" w:hAnsi="Tahoma" w:cs="Tahoma"/>
      <w:sz w:val="16"/>
      <w:szCs w:val="16"/>
    </w:rPr>
  </w:style>
  <w:style w:type="character" w:customStyle="1" w:styleId="titparentflot">
    <w:name w:val="titparentflot"/>
    <w:basedOn w:val="Policepardfaut"/>
    <w:rsid w:val="008671CA"/>
  </w:style>
  <w:style w:type="paragraph" w:styleId="En-tte">
    <w:name w:val="header"/>
    <w:basedOn w:val="Normal"/>
    <w:link w:val="En-tteCar"/>
    <w:uiPriority w:val="99"/>
    <w:unhideWhenUsed/>
    <w:rsid w:val="008671CA"/>
    <w:pPr>
      <w:tabs>
        <w:tab w:val="center" w:pos="4320"/>
        <w:tab w:val="right" w:pos="8640"/>
      </w:tabs>
      <w:spacing w:after="0" w:line="240" w:lineRule="auto"/>
    </w:pPr>
  </w:style>
  <w:style w:type="character" w:customStyle="1" w:styleId="En-tteCar">
    <w:name w:val="En-tête Car"/>
    <w:basedOn w:val="Policepardfaut"/>
    <w:link w:val="En-tte"/>
    <w:uiPriority w:val="99"/>
    <w:rsid w:val="008671CA"/>
  </w:style>
  <w:style w:type="paragraph" w:styleId="Pieddepage">
    <w:name w:val="footer"/>
    <w:basedOn w:val="Normal"/>
    <w:link w:val="PieddepageCar"/>
    <w:uiPriority w:val="99"/>
    <w:unhideWhenUsed/>
    <w:rsid w:val="008671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28887">
      <w:bodyDiv w:val="1"/>
      <w:marLeft w:val="0"/>
      <w:marRight w:val="0"/>
      <w:marTop w:val="0"/>
      <w:marBottom w:val="0"/>
      <w:divBdr>
        <w:top w:val="none" w:sz="0" w:space="0" w:color="auto"/>
        <w:left w:val="none" w:sz="0" w:space="0" w:color="auto"/>
        <w:bottom w:val="none" w:sz="0" w:space="0" w:color="auto"/>
        <w:right w:val="none" w:sz="0" w:space="0" w:color="auto"/>
      </w:divBdr>
      <w:divsChild>
        <w:div w:id="2042122547">
          <w:marLeft w:val="0"/>
          <w:marRight w:val="0"/>
          <w:marTop w:val="0"/>
          <w:marBottom w:val="0"/>
          <w:divBdr>
            <w:top w:val="none" w:sz="0" w:space="0" w:color="auto"/>
            <w:left w:val="none" w:sz="0" w:space="0" w:color="auto"/>
            <w:bottom w:val="none" w:sz="0" w:space="0" w:color="auto"/>
            <w:right w:val="none" w:sz="0" w:space="0" w:color="auto"/>
          </w:divBdr>
        </w:div>
        <w:div w:id="919678867">
          <w:marLeft w:val="0"/>
          <w:marRight w:val="0"/>
          <w:marTop w:val="0"/>
          <w:marBottom w:val="0"/>
          <w:divBdr>
            <w:top w:val="none" w:sz="0" w:space="0" w:color="auto"/>
            <w:left w:val="none" w:sz="0" w:space="0" w:color="auto"/>
            <w:bottom w:val="none" w:sz="0" w:space="0" w:color="auto"/>
            <w:right w:val="none" w:sz="0" w:space="0" w:color="auto"/>
          </w:divBdr>
        </w:div>
        <w:div w:id="499467416">
          <w:marLeft w:val="0"/>
          <w:marRight w:val="0"/>
          <w:marTop w:val="0"/>
          <w:marBottom w:val="0"/>
          <w:divBdr>
            <w:top w:val="none" w:sz="0" w:space="0" w:color="auto"/>
            <w:left w:val="none" w:sz="0" w:space="0" w:color="auto"/>
            <w:bottom w:val="none" w:sz="0" w:space="0" w:color="auto"/>
            <w:right w:val="none" w:sz="0" w:space="0" w:color="auto"/>
          </w:divBdr>
        </w:div>
        <w:div w:id="443615393">
          <w:marLeft w:val="0"/>
          <w:marRight w:val="0"/>
          <w:marTop w:val="0"/>
          <w:marBottom w:val="0"/>
          <w:divBdr>
            <w:top w:val="none" w:sz="0" w:space="0" w:color="auto"/>
            <w:left w:val="none" w:sz="0" w:space="0" w:color="auto"/>
            <w:bottom w:val="none" w:sz="0" w:space="0" w:color="auto"/>
            <w:right w:val="none" w:sz="0" w:space="0" w:color="auto"/>
          </w:divBdr>
        </w:div>
        <w:div w:id="233471916">
          <w:marLeft w:val="0"/>
          <w:marRight w:val="0"/>
          <w:marTop w:val="0"/>
          <w:marBottom w:val="0"/>
          <w:divBdr>
            <w:top w:val="none" w:sz="0" w:space="0" w:color="auto"/>
            <w:left w:val="none" w:sz="0" w:space="0" w:color="auto"/>
            <w:bottom w:val="none" w:sz="0" w:space="0" w:color="auto"/>
            <w:right w:val="none" w:sz="0" w:space="0" w:color="auto"/>
          </w:divBdr>
        </w:div>
        <w:div w:id="92554934">
          <w:marLeft w:val="0"/>
          <w:marRight w:val="0"/>
          <w:marTop w:val="0"/>
          <w:marBottom w:val="0"/>
          <w:divBdr>
            <w:top w:val="none" w:sz="0" w:space="0" w:color="auto"/>
            <w:left w:val="none" w:sz="0" w:space="0" w:color="auto"/>
            <w:bottom w:val="none" w:sz="0" w:space="0" w:color="auto"/>
            <w:right w:val="none" w:sz="0" w:space="0" w:color="auto"/>
          </w:divBdr>
        </w:div>
        <w:div w:id="1197350803">
          <w:marLeft w:val="0"/>
          <w:marRight w:val="0"/>
          <w:marTop w:val="0"/>
          <w:marBottom w:val="0"/>
          <w:divBdr>
            <w:top w:val="none" w:sz="0" w:space="0" w:color="auto"/>
            <w:left w:val="none" w:sz="0" w:space="0" w:color="auto"/>
            <w:bottom w:val="none" w:sz="0" w:space="0" w:color="auto"/>
            <w:right w:val="none" w:sz="0" w:space="0" w:color="auto"/>
          </w:divBdr>
        </w:div>
      </w:divsChild>
    </w:div>
    <w:div w:id="1896315113">
      <w:bodyDiv w:val="1"/>
      <w:marLeft w:val="0"/>
      <w:marRight w:val="0"/>
      <w:marTop w:val="0"/>
      <w:marBottom w:val="0"/>
      <w:divBdr>
        <w:top w:val="none" w:sz="0" w:space="0" w:color="auto"/>
        <w:left w:val="none" w:sz="0" w:space="0" w:color="auto"/>
        <w:bottom w:val="none" w:sz="0" w:space="0" w:color="auto"/>
        <w:right w:val="none" w:sz="0" w:space="0" w:color="auto"/>
      </w:divBdr>
      <w:divsChild>
        <w:div w:id="1209416100">
          <w:marLeft w:val="0"/>
          <w:marRight w:val="0"/>
          <w:marTop w:val="0"/>
          <w:marBottom w:val="0"/>
          <w:divBdr>
            <w:top w:val="none" w:sz="0" w:space="0" w:color="auto"/>
            <w:left w:val="none" w:sz="0" w:space="0" w:color="auto"/>
            <w:bottom w:val="none" w:sz="0" w:space="0" w:color="auto"/>
            <w:right w:val="none" w:sz="0" w:space="0" w:color="auto"/>
          </w:divBdr>
          <w:divsChild>
            <w:div w:id="1004212526">
              <w:marLeft w:val="0"/>
              <w:marRight w:val="0"/>
              <w:marTop w:val="0"/>
              <w:marBottom w:val="0"/>
              <w:divBdr>
                <w:top w:val="none" w:sz="0" w:space="0" w:color="auto"/>
                <w:left w:val="none" w:sz="0" w:space="0" w:color="auto"/>
                <w:bottom w:val="none" w:sz="0" w:space="0" w:color="auto"/>
                <w:right w:val="none" w:sz="0" w:space="0" w:color="auto"/>
              </w:divBdr>
            </w:div>
            <w:div w:id="791168931">
              <w:marLeft w:val="0"/>
              <w:marRight w:val="0"/>
              <w:marTop w:val="0"/>
              <w:marBottom w:val="0"/>
              <w:divBdr>
                <w:top w:val="none" w:sz="0" w:space="0" w:color="auto"/>
                <w:left w:val="none" w:sz="0" w:space="0" w:color="auto"/>
                <w:bottom w:val="none" w:sz="0" w:space="0" w:color="auto"/>
                <w:right w:val="none" w:sz="0" w:space="0" w:color="auto"/>
              </w:divBdr>
            </w:div>
            <w:div w:id="1709338238">
              <w:marLeft w:val="0"/>
              <w:marRight w:val="0"/>
              <w:marTop w:val="0"/>
              <w:marBottom w:val="0"/>
              <w:divBdr>
                <w:top w:val="none" w:sz="0" w:space="0" w:color="auto"/>
                <w:left w:val="none" w:sz="0" w:space="0" w:color="auto"/>
                <w:bottom w:val="none" w:sz="0" w:space="0" w:color="auto"/>
                <w:right w:val="none" w:sz="0" w:space="0" w:color="auto"/>
              </w:divBdr>
            </w:div>
            <w:div w:id="2131974908">
              <w:marLeft w:val="0"/>
              <w:marRight w:val="0"/>
              <w:marTop w:val="0"/>
              <w:marBottom w:val="0"/>
              <w:divBdr>
                <w:top w:val="none" w:sz="0" w:space="0" w:color="auto"/>
                <w:left w:val="none" w:sz="0" w:space="0" w:color="auto"/>
                <w:bottom w:val="none" w:sz="0" w:space="0" w:color="auto"/>
                <w:right w:val="none" w:sz="0" w:space="0" w:color="auto"/>
              </w:divBdr>
            </w:div>
            <w:div w:id="572156288">
              <w:marLeft w:val="0"/>
              <w:marRight w:val="0"/>
              <w:marTop w:val="0"/>
              <w:marBottom w:val="0"/>
              <w:divBdr>
                <w:top w:val="none" w:sz="0" w:space="0" w:color="auto"/>
                <w:left w:val="none" w:sz="0" w:space="0" w:color="auto"/>
                <w:bottom w:val="none" w:sz="0" w:space="0" w:color="auto"/>
                <w:right w:val="none" w:sz="0" w:space="0" w:color="auto"/>
              </w:divBdr>
            </w:div>
            <w:div w:id="191725219">
              <w:marLeft w:val="0"/>
              <w:marRight w:val="0"/>
              <w:marTop w:val="0"/>
              <w:marBottom w:val="0"/>
              <w:divBdr>
                <w:top w:val="none" w:sz="0" w:space="0" w:color="auto"/>
                <w:left w:val="none" w:sz="0" w:space="0" w:color="auto"/>
                <w:bottom w:val="none" w:sz="0" w:space="0" w:color="auto"/>
                <w:right w:val="none" w:sz="0" w:space="0" w:color="auto"/>
              </w:divBdr>
            </w:div>
            <w:div w:id="1397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Trajet jeunesse</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Trajet</dc:creator>
  <cp:keywords/>
  <dc:description/>
  <cp:lastModifiedBy>Secrétariat Trajet</cp:lastModifiedBy>
  <cp:revision>1</cp:revision>
  <dcterms:created xsi:type="dcterms:W3CDTF">2014-09-11T14:52:00Z</dcterms:created>
  <dcterms:modified xsi:type="dcterms:W3CDTF">2014-09-11T15:11:00Z</dcterms:modified>
</cp:coreProperties>
</file>